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A4" w:rsidRPr="001A5CA4" w:rsidRDefault="001A5CA4" w:rsidP="001A5CA4">
      <w:pPr>
        <w:pStyle w:val="Prrafodelista"/>
        <w:spacing w:after="0" w:line="240" w:lineRule="auto"/>
        <w:ind w:left="0"/>
        <w:jc w:val="center"/>
        <w:rPr>
          <w:rFonts w:cs="Calibri"/>
          <w:color w:val="000000"/>
          <w:u w:val="single"/>
          <w:lang w:val="es-PY"/>
        </w:rPr>
      </w:pPr>
      <w:r w:rsidRPr="001A5CA4">
        <w:rPr>
          <w:rFonts w:cs="Calibri"/>
          <w:b/>
          <w:color w:val="000000"/>
          <w:u w:val="single"/>
          <w:lang w:val="es-PY"/>
        </w:rPr>
        <w:t xml:space="preserve">Modelo de Ordenanza </w:t>
      </w:r>
      <w:r w:rsidR="00391F5D">
        <w:rPr>
          <w:rFonts w:cs="Calibri"/>
          <w:b/>
          <w:color w:val="000000"/>
          <w:u w:val="single"/>
          <w:lang w:val="es-PY"/>
        </w:rPr>
        <w:t xml:space="preserve">Municipal </w:t>
      </w:r>
      <w:r w:rsidRPr="001A5CA4">
        <w:rPr>
          <w:rFonts w:cs="Calibri"/>
          <w:b/>
          <w:color w:val="000000"/>
          <w:u w:val="single"/>
          <w:lang w:val="es-PY"/>
        </w:rPr>
        <w:t>que crea la Instancia Distrital de Concertación para Erradicar la Violencia contra las Mujeres y los Integrantes del Grupo Familiar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ORDENANZA </w:t>
      </w:r>
      <w:r w:rsidR="00D3015A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N° YYYY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center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El Consejo Distrital de la Municipalidad Distrital XXX.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VISTO:</w:t>
      </w: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En sesión ordinaria N° XXX, de fecha XXX del mes de XXX del año XXX, el Consejo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de la Municipalidad Distrital del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distrito 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XXX, ha debatido y aprobado la propuesta de Ordenanza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Municipal </w:t>
      </w:r>
      <w:r w:rsidRPr="001425F6">
        <w:rPr>
          <w:rFonts w:cs="Calibri"/>
          <w:color w:val="000000"/>
          <w:sz w:val="20"/>
          <w:szCs w:val="20"/>
          <w:lang w:val="es-PY"/>
        </w:rPr>
        <w:t>que crea la Instancia Distrital de Concertación para Erradicar la Violencia contra las Mujeres y los Integrantes del Grupo Familiar;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Heading1"/>
        <w:keepNext/>
        <w:keepLines/>
        <w:shd w:val="clear" w:color="auto" w:fill="auto"/>
        <w:spacing w:line="240" w:lineRule="auto"/>
        <w:jc w:val="both"/>
        <w:rPr>
          <w:rFonts w:eastAsia="Arial Unicode MS" w:cs="Calibri"/>
          <w:color w:val="000000"/>
          <w:sz w:val="20"/>
          <w:szCs w:val="20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CONSIDERANDO: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los artículos 19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>4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° y 19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>5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° de la Constitución Política del Perú, modificada por la Ley de Reforma Constitucional, Ley N° 27680, establecen, respectivamente, que </w:t>
      </w:r>
      <w:r w:rsidR="00EC5985">
        <w:rPr>
          <w:rFonts w:eastAsia="Arial Unicode MS" w:cs="Calibri"/>
          <w:color w:val="000000"/>
          <w:sz w:val="20"/>
          <w:szCs w:val="20"/>
          <w:lang w:bidi="es-ES"/>
        </w:rPr>
        <w:t xml:space="preserve">las municipalidades provinciales y distritales son los órganos de gobierno </w:t>
      </w:r>
      <w:r w:rsidR="00F91AC0">
        <w:rPr>
          <w:rFonts w:eastAsia="Arial Unicode MS" w:cs="Calibri"/>
          <w:color w:val="000000"/>
          <w:sz w:val="20"/>
          <w:szCs w:val="20"/>
          <w:lang w:bidi="es-ES"/>
        </w:rPr>
        <w:t>local, tienen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autonomía política, económica y administrativa en los asuntos de su competencia y que son competentes para aprobar su organización interna y su presupuesto;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el numeral 18.1 del artículo 18° de la Ley N° 27783-Ley de Bases de Descentralización señala que, el Poder Ejecutivo elabora y aprueba los planes nacionales y sectoriales de desarrollo, teniendo en cuenta la visión y orientaciones nacionales y los planes de desarrollo de nivel regional y local, que garanticen la estabilidad macroeconómica;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los artículos IV y 73° de la Ley N° 27972-Ley Orgánica Municipalidades señala que, las Municipalidades tiene por finalidad representar al vecindario, promover la adecuada prestación de los servicios públicos locales y el desarrollo integral, sostenible y armónico de su circunscripción; por lo que, dentro de sus funciones específicas municipales, se considera la materia de servicios sociales locales, donde se incorpora difundir y promover los derechos del niño/a, adolescente, mujer y persona adulta mayor; propiciando espacios para su participación a nivel de instancias municipales;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el numeral 8 del artículo 9° de la Ley N° 27972 se indica que, corresponde al Consejo Municipal el aprobar, modificar o derogar las ordenanzas y dejar sin efecto los acuerdos;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Que, el artículo 1° de la Ley N° 30364-Ley para prevenir, sancionar y erradicar la violencia contra las mujeres y los integrantes del grupo familiar señala que, esta norma tiene por objeto prevenir, erradicar y sancionar toda forma de violencia producida en el ámbito público o privado contra las mujeres por su condición de tales, y contra los integrantes del grupo familiar; en especial, cuando se encuentran en situación de vulnerabilidad, por la edad o situación física como las niñas, niños, adolescentes, personas adultas mayores y personas con discapacidad; para lo cual establece mecanismos, medidas y políticas integrales de prevención, atención y protección de las víctimas así como reparación del daño causado; y dispone la persecución, sanción y reeducación de los agresores sentenciados con el fin de garantizar a las mujeres y al grupo familiar una vida libre de violencia asegurando el ejercicio pleno de sus derechos;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los artículos 33° y 34° de la Ley N° 30364-Ley para prevenir, sancionar y erradicar la violencia contra las mujeres y los integrantes del grupo familiar establecen la creación del Sistema Nacional para la Prevención, Sanción y Erradicación de la Violencia contra las Mujeres y los Integrantes del Grupo Familiar como sistema funcional encargado de </w:t>
      </w:r>
      <w:r w:rsidRPr="001425F6">
        <w:rPr>
          <w:rFonts w:cs="Calibri"/>
          <w:color w:val="000000"/>
          <w:sz w:val="20"/>
          <w:szCs w:val="20"/>
          <w:shd w:val="clear" w:color="auto" w:fill="FFFFFF"/>
        </w:rPr>
        <w:t xml:space="preserve">coordinar, planificar, organizar y ejecutar acciones articuladas, integradas y complementarias para la acción del Estado en la prevención, atención, protección y reparación de la víctima, la sanción y reeducación del agresor, a efectos de lograr la erradicación de la violencia contra las mujeres y los integrantes del grupo familiar; el cual está integrado por la Comisión Multisectorial de Alto Nivel (CMAN), que cuenta con una Secretaría Técnica, y las Instancias Regionales, Provinciales y Distritales de Concertación para erradicar la violencia contra las </w:t>
      </w:r>
      <w:r w:rsidRPr="001425F6">
        <w:rPr>
          <w:rFonts w:cs="Calibri"/>
          <w:color w:val="000000"/>
          <w:sz w:val="20"/>
          <w:szCs w:val="20"/>
          <w:shd w:val="clear" w:color="auto" w:fill="FFFFFF"/>
        </w:rPr>
        <w:lastRenderedPageBreak/>
        <w:t>mujeres y los integrantes del grupo familiar;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en el artículo 39° de la Ley N° 30364 se señala que, la Instancia Distrital de Concertación tiene como responsabilidad </w:t>
      </w:r>
      <w:r w:rsidR="0080411C" w:rsidRPr="0080411C">
        <w:rPr>
          <w:rFonts w:eastAsia="Arial Unicode MS" w:cs="Calibri"/>
          <w:color w:val="000000"/>
          <w:sz w:val="20"/>
          <w:szCs w:val="20"/>
          <w:lang w:bidi="es-ES"/>
        </w:rPr>
        <w:t>implementar, monitorear, evaluar, coordinar y articular la implementación de las políticas públicas encargadas de combatir la violencia contra las mujeres y los integrantes del grupo familiar a nivel distrital, y promover y velar por el cumplimiento de la presente norma</w:t>
      </w:r>
      <w:r w:rsidR="0080411C">
        <w:rPr>
          <w:rFonts w:eastAsia="Arial Unicode MS" w:cs="Calibri"/>
          <w:color w:val="000000"/>
          <w:sz w:val="20"/>
          <w:szCs w:val="20"/>
          <w:lang w:bidi="es-ES"/>
        </w:rPr>
        <w:t xml:space="preserve">, </w:t>
      </w:r>
      <w:r w:rsidR="0080411C" w:rsidRPr="00A23ED3">
        <w:rPr>
          <w:rFonts w:eastAsia="Arial Unicode MS" w:cs="Calibri"/>
          <w:color w:val="000000"/>
          <w:sz w:val="20"/>
          <w:szCs w:val="20"/>
          <w:lang w:bidi="es-ES"/>
        </w:rPr>
        <w:t>y es obligación del alcalde dis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>trital crear, instalar, convocar y dirigir la instancia distrital de concertación en su jurisdicción</w:t>
      </w:r>
      <w:r w:rsidR="0080411C" w:rsidRPr="00A23ED3">
        <w:rPr>
          <w:rFonts w:eastAsia="Arial Unicode MS" w:cs="Calibri"/>
          <w:color w:val="000000"/>
          <w:sz w:val="20"/>
          <w:szCs w:val="20"/>
          <w:lang w:bidi="es-ES"/>
        </w:rPr>
        <w:t>;</w:t>
      </w:r>
    </w:p>
    <w:p w:rsidR="0080411C" w:rsidRDefault="0080411C" w:rsidP="0080411C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en el artículo 109° del Reglamento de la Ley N° 30364, aprobado con Decreto Supremo N° 009-2016-MIMP y modificado con el Decreto Supremo N° 004-2019-MIMP se establece que las Municipalidades Distritales, mediante una ordenanza, disponen la creación de la Instancia Distrital de Concertación, precisando sus integrantes; 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ind w:firstLine="708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Que, mediante Informe N° XXX, de fecha XX, la Gerencia </w:t>
      </w:r>
      <w:r w:rsidR="00431540">
        <w:rPr>
          <w:rFonts w:eastAsia="Arial Unicode MS" w:cs="Calibri"/>
          <w:color w:val="000000"/>
          <w:sz w:val="20"/>
          <w:szCs w:val="20"/>
          <w:lang w:bidi="es-ES"/>
        </w:rPr>
        <w:t>Municipal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 de Desarrollo Social de la Municipalidad Distrital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 se presenta a la Gerencia General el proyecto de Ordenanza Distrital que crea </w:t>
      </w:r>
      <w:r w:rsidRPr="001425F6">
        <w:rPr>
          <w:rFonts w:cs="Calibri"/>
          <w:color w:val="000000"/>
          <w:sz w:val="20"/>
          <w:szCs w:val="20"/>
          <w:lang w:val="es-PY"/>
        </w:rPr>
        <w:t>la Instancia Distrital de Concertación para Erradicar la Violencia contra las Mujeres y los Integrantes del Grupo Familiar, para continuar con el trámite administrativo respectivo;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Estando a las consideraciones expuestas, acordado y aprobado en sesión ordinaria del Consejo </w:t>
      </w:r>
      <w:r w:rsidR="00A23ED3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la Municipalidad Distrital de XXX, </w:t>
      </w:r>
      <w:r w:rsidR="00A23ED3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con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fecha XXX del mes XXX del año XXX, en uso de las atribuciones conferidas por el artículo 40° de la Ley N°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27972-Ley Orgánica Municipalidades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, sus Modificatorias y el Reglamento Interno del Consejo Distrital, con el voto unánime de sus miembros y con dispensa de trámite de lectura y aprobación del Acta;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HA DADO LA ORDENANZA DISTRITAL SIGUIENTE: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ORDENANZA DISTRITAL QUE APRUEBA LA CREACIÓN DE LA INSTANCIA DISTRITAL DE CONCERTACIÓN PARA ERRADICAR LA VIOLENCIA CONTRA LAS MUJERES Y LOS INTEGRANTES DEL GRUPO FAMILIAR EN EL DISTRITO XXX</w:t>
      </w:r>
    </w:p>
    <w:p w:rsidR="001A5CA4" w:rsidRPr="001425F6" w:rsidRDefault="001A5CA4" w:rsidP="001A5CA4">
      <w:pPr>
        <w:pStyle w:val="Bodytext3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Style w:val="Bodytext2BoldExact"/>
          <w:rFonts w:ascii="Calibri" w:eastAsia="Arial Unicode MS" w:hAnsi="Calibri" w:cs="Calibri"/>
          <w:sz w:val="20"/>
          <w:szCs w:val="20"/>
        </w:rPr>
        <w:t xml:space="preserve">ARTÍCULO PRIMERO: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Aprobar la creación de la Instancia Distrital de Concertación para Erradicar la Violencia contra las Mujeres y los Integrantes del Grupo Familiar del Distrito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XXX, en el marco de la Ley N° 30364 - Ley para prevenir, sancionar y erradicar la violencia contra las mujeres y los integrantes del grupo familiar y su Reglamento, como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>espacio de articulación y concertación intersectorial, intergubernamental e interinstitucional a nivel distrital entre el Estado, la sociedad civil y las organizaciones sociales de base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que forma parte del Sistema Nacional para la Prevención, Sanción y Erradicación de la Violencia contra las Mujeres y los Integrantes del Grupo Familiar.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bidi="es-ES"/>
        </w:rPr>
        <w:t xml:space="preserve">ARTÍCULO SEGUNDO: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La Instancia Distrital de Concertación para Erradicar la Violencia contra las Mujeres y los Integrantes del Grupo Familiar del Distrito </w:t>
      </w:r>
      <w:r w:rsidR="00A23ED3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XXX tiene </w:t>
      </w:r>
      <w:r w:rsidR="00A23ED3" w:rsidRPr="00A23ED3">
        <w:rPr>
          <w:rFonts w:eastAsia="Arial Unicode MS" w:cs="Calibri"/>
          <w:color w:val="000000"/>
          <w:sz w:val="20"/>
          <w:szCs w:val="20"/>
          <w:lang w:bidi="es-ES"/>
        </w:rPr>
        <w:t xml:space="preserve">como responsabilidad implementar, monitorear, evaluar, coordinar y articular la implementación de las políticas públicas encargadas de combatir la violencia contra las mujeres y los integrantes del grupo familiar a nivel distrital,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en el marco de la Ley N° 30364 - Ley para prevenir, sancionar y erradicar la violencia contra las mujeres y los integrantes del grupo familiar y su Reglamento.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TERCERO: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Distrital de Concertación para Erradicar la Violencia contra las Mujeres y los Integrantes del Grupo Familiar del Distrito </w:t>
      </w:r>
      <w:r w:rsidR="006A7820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tiene las siguientes funciones: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Proponer en los instrumentos de gestión y en particular en el Plan de Desarrollo </w:t>
      </w:r>
      <w:r w:rsidR="00BD0C6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Local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Concertado (PD</w:t>
      </w:r>
      <w:r w:rsidR="00BD0C6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C), Plan Operativo Institucional (POI)y Presupuesto Participativo (PP)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metas, indicadores y acciones que respondan a la problemática de la violencia contra las mujeres e integrantes del grupo familiar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Promover la adopción de políticas, planes, programas, acciones y presupuestos específicos para la prevención, atención, protección y recuperación de las víctimas; y sanción y rehabilitación de las personas agresoras, dando cumplimiento a la Ley N° 30364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Informar a la Instancia Provincial de Concertación periódicamente sobre las acciones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lastRenderedPageBreak/>
        <w:t>desarrolladas para el cumplimiento de la Ley N° 30364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Promover el cumplimiento del Protocolo Base de Actuación Conjunta como instrumento de obligatorio cumplimiento en las instituciones públicas y su adecuación si es necesaria al contexto distrital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Promover el fortalecimiento de las instancias comunales para las acciones distritales frente a la violencia contra las mujeres e integrantes del grupo familiar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Otras que les atribuya 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Comisión Multisectorial de Alto Nivel (CMAN); así como la Instancia Regional y Provincial correspondiente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;</w:t>
      </w:r>
    </w:p>
    <w:p w:rsidR="001A5CA4" w:rsidRPr="001425F6" w:rsidRDefault="001A5CA4" w:rsidP="001A5CA4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Aprobar su reglamento interno.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cr/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CUARTO: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Instancia Distrital de Concertación para Erradicar la Violencia contra las Mujeres y los Integrantes del Grupo Familiar del Distrito</w:t>
      </w:r>
      <w:r w:rsidR="006A7820">
        <w:rPr>
          <w:rFonts w:eastAsia="Arial Unicode MS" w:cs="Calibri"/>
          <w:color w:val="000000"/>
          <w:sz w:val="20"/>
          <w:szCs w:val="20"/>
          <w:lang w:bidi="es-ES"/>
        </w:rPr>
        <w:t xml:space="preserve"> de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 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está conformada por </w:t>
      </w:r>
      <w:r w:rsidR="006A7820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máxima autoridad de las siguientes instituciones y representantes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: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Municipalidad Distrital, quien la preside. El cargo es indelegable, bajo responsabilidad.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Gobernación Distrital.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Jefatura de la Policía Nacional del Perú a cuya jurisdicción pertenece el distrito.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Dos Municipalidades de Centros Poblados menores.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Un/a representante de rondas campesinas o urbanas, de las comunidades campesinas y nativas, y de los comités de autodefensa de la zona, si los hubiere.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dos organizaciones comunales existentes.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Centro de Emergencia Mujer (CEM) cuya designación la realiza el Programa Nacional para la Prevención y Erradicación de la Violencia contra las Mujeres e Integrantes del Grupo Familiar – AURORA del Ministerio de la Mujer y Poblaciones Vulnerables (MIMP).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dos organizaciones o asociaciones de la sociedad civil del distrito relacionadas a la temática de la violencia contra las mujeres y las personas que integran el grupo familiar.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Un/a representante del Poder Judicial, quien es designada la Presidencia de la Corte Superior de la jurisdicción.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Un/a representante del Ministerio Público, quien es designada por la Presidencia de la Junta de Fiscales Superiores de la jurisdicción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Un/a representante de los establecimientos públicos de salud.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Un/a representante de los centros educativos.</w:t>
      </w:r>
    </w:p>
    <w:p w:rsidR="001A5CA4" w:rsidRPr="001425F6" w:rsidRDefault="001A5CA4" w:rsidP="001A5CA4">
      <w:pPr>
        <w:pStyle w:val="Prrafodelista"/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Hasta dos representantes de instituciones y organizaciones representativas de los pueblos indígenas u originarios en su ámbito de competencia, si los hubiera.</w:t>
      </w:r>
    </w:p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de la Municipalidad Distrital o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que haga sus veces asume la Secretaría Técnica de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Instancia Distrital de Concertación</w:t>
      </w:r>
      <w:r w:rsidR="003A6F9D" w:rsidRPr="001425F6">
        <w:rPr>
          <w:rFonts w:eastAsia="Arial Unicode MS" w:cs="Calibri"/>
          <w:color w:val="000000"/>
          <w:sz w:val="20"/>
          <w:szCs w:val="20"/>
          <w:lang w:bidi="es-ES"/>
        </w:rPr>
        <w:t>para Erradicar la Violencia contra las Mujeres y los Integrantes del Grupo Familiar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p w:rsidR="001A5CA4" w:rsidRPr="001425F6" w:rsidRDefault="001A5CA4" w:rsidP="001A5CA4">
      <w:pPr>
        <w:pStyle w:val="Prrafodelista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QUINTO: </w:t>
      </w:r>
      <w:r w:rsidR="00EE7462" w:rsidRP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Las inst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ituciones integrantes nombran además del o la representante titular a un o una representante alterna o alterno,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quienes son acreditados/as mediante comunicación escrita dirigida 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al Presidente/a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la Instancia Distrital de Concertación</w:t>
      </w:r>
      <w:r w:rsidR="00EE7462" w:rsidRPr="001425F6">
        <w:rPr>
          <w:rFonts w:eastAsia="Arial Unicode MS" w:cs="Calibri"/>
          <w:color w:val="000000"/>
          <w:sz w:val="20"/>
          <w:szCs w:val="20"/>
          <w:lang w:bidi="es-ES"/>
        </w:rPr>
        <w:t>para Erradicar la Violencia contra las Mujeres y los Integrantes del Grupo Familiar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en un plazo no mayor de 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cinco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(</w:t>
      </w:r>
      <w:r w:rsidR="003A6F9D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5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) días hábiles contados a partir de la aprobación de la presente Ordenanza</w:t>
      </w:r>
      <w:r w:rsidR="00EE7462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Municipal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p w:rsidR="001A5CA4" w:rsidRPr="001425F6" w:rsidRDefault="001A5CA4" w:rsidP="001A5CA4">
      <w:pPr>
        <w:widowControl w:val="0"/>
        <w:tabs>
          <w:tab w:val="left" w:pos="2880"/>
        </w:tabs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ARTICULO SEXTO: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Instancia Distrital de Concertación para Erradicar la Violencia contra las Mujeres y los Integrantes del Grupo Familiar del Distrito 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 debe instalar en un plazo </w:t>
      </w:r>
      <w:r w:rsidR="00D2204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diez (10)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días hábiles contados a partir de la publicación de la Ordenanza Distrital, siendo su naturaleza de carácter permanente.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Secretaría Técnica de la Instancia Distrital de Concertación deberá remitir el acta de instalación a la </w:t>
      </w:r>
      <w:r w:rsidR="00104791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de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 en un plazo de tres (3) días hábiles de efectuada la instalación.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SÉTIMO: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Instancia Distrital de Concertación para Erradicar la Violencia contra las Mujeres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lastRenderedPageBreak/>
        <w:t xml:space="preserve">y los Integrantes del Grupo Familiar del Distrito </w:t>
      </w:r>
      <w:r w:rsidR="00104791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debe aprobar, en sesión ordinaria, su Reglamento Interno, en un plazo no mayor de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diez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(1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0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) días hábiles contados a partir del día siguiente de su instalación.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Secretaría Técnica de la Instancia Distrital de Concertación deberá remitir copia fedateada del Reglamento Interno</w:t>
      </w:r>
      <w:r w:rsidR="009A0913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y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el acta de la sesión ordinaria de aprobación del citado documento a la </w:t>
      </w:r>
      <w:r w:rsidR="00104791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de </w:t>
      </w:r>
      <w:r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 en un plazo de diez (10) días hábiles de aprobada en sesión ordinaria.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OCTAVO: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de la Municipalidad Distrital de XXX, en su condición de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Secretaría Técnica de 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Instancia Distrital de Concertación para Erradicar la Violencia contra las Mujeres y los Integrantes del Grupo Familiar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del Distrito </w:t>
      </w:r>
      <w:r w:rsidR="00104791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XXXX,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elaborará los instrumentos de gestión necesarios para asegurar el adecuado y oportuno funcionamiento de la Instancia Distrital de Concertación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. 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NOVENO: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La Gerencia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Municipal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Desarrollo Social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en su condición de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Secretaría Técnica de la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Instancia Distrital de Concertación para Erradicar la Violencia contra las Mujeres y los Integrantes del Grupo Familiar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 del Distrito </w:t>
      </w:r>
      <w:r w:rsid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XXX</w:t>
      </w:r>
      <w:r w:rsidR="00156DAA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,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efectúa las coordinaciones y articulaciones necesarias para la implementación, seguimiento y evaluación de las funciones de la Instancia Distrital de Concertación, debiendo elaborar los reportes semestrales y anuales a la </w:t>
      </w:r>
      <w:r w:rsidR="00D806F8" w:rsidRPr="00FD50A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Dirección General Contra la Violencia de Género del Ministerio de la Mujer y Poblaciones Vulnerables del Ministerio de la Mujer y Poblaciones Vulnerables en su condición </w:t>
      </w:r>
      <w:r w:rsidR="00D806F8">
        <w:rPr>
          <w:rFonts w:eastAsia="Arial Unicode MS" w:cs="Calibri"/>
          <w:color w:val="000000"/>
          <w:sz w:val="20"/>
          <w:szCs w:val="20"/>
          <w:lang w:val="es-ES" w:eastAsia="es-ES"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Secretaría Técnica de la Comisión Multisectorial de Alto Nivel (CMAN).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b/>
          <w:bCs/>
          <w:color w:val="000000"/>
          <w:sz w:val="20"/>
          <w:szCs w:val="20"/>
          <w:lang w:val="es-ES" w:eastAsia="es-ES" w:bidi="es-ES"/>
        </w:rPr>
        <w:t xml:space="preserve">ARTÍCULO DÉCIMO: </w:t>
      </w: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La presente Ordenanza entrará en vigencia al día siguiente de su publicación en el Diario Oficial "El Peruano".</w:t>
      </w:r>
    </w:p>
    <w:p w:rsidR="001A5CA4" w:rsidRPr="001425F6" w:rsidRDefault="001A5CA4" w:rsidP="001A5CA4">
      <w:pPr>
        <w:widowControl w:val="0"/>
        <w:spacing w:after="0" w:line="240" w:lineRule="auto"/>
        <w:jc w:val="both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bidi="es-ES"/>
        </w:rPr>
        <w:t xml:space="preserve">Comuníquese al/la Señor/a Alcalde/sa de la Municipalidad Distrital </w:t>
      </w:r>
      <w:r w:rsidR="00D806F8">
        <w:rPr>
          <w:rFonts w:eastAsia="Arial Unicode MS" w:cs="Calibri"/>
          <w:color w:val="000000"/>
          <w:sz w:val="20"/>
          <w:szCs w:val="20"/>
          <w:lang w:bidi="es-ES"/>
        </w:rPr>
        <w:t xml:space="preserve">de </w:t>
      </w:r>
      <w:r w:rsidRPr="001425F6">
        <w:rPr>
          <w:rFonts w:eastAsia="Arial Unicode MS" w:cs="Calibri"/>
          <w:color w:val="000000"/>
          <w:sz w:val="20"/>
          <w:szCs w:val="20"/>
          <w:lang w:bidi="es-ES"/>
        </w:rPr>
        <w:t>XXX para su promulgación.</w:t>
      </w:r>
    </w:p>
    <w:p w:rsidR="001A5CA4" w:rsidRPr="001425F6" w:rsidRDefault="001A5CA4" w:rsidP="001A5CA4">
      <w:pPr>
        <w:pStyle w:val="Bodytext2"/>
        <w:shd w:val="clear" w:color="auto" w:fill="auto"/>
        <w:spacing w:after="0" w:line="240" w:lineRule="auto"/>
        <w:rPr>
          <w:rFonts w:eastAsia="Arial Unicode MS" w:cs="Calibri"/>
          <w:color w:val="000000"/>
          <w:sz w:val="20"/>
          <w:szCs w:val="20"/>
          <w:lang w:bidi="es-ES"/>
        </w:rPr>
      </w:pPr>
    </w:p>
    <w:p w:rsidR="001A5CA4" w:rsidRPr="001425F6" w:rsidRDefault="001A5CA4" w:rsidP="001A5CA4">
      <w:pPr>
        <w:pStyle w:val="Prrafodelista"/>
        <w:widowControl w:val="0"/>
        <w:spacing w:after="0" w:line="240" w:lineRule="auto"/>
        <w:ind w:left="0"/>
        <w:contextualSpacing w:val="0"/>
        <w:rPr>
          <w:rFonts w:eastAsia="Arial Unicode MS" w:cs="Calibri"/>
          <w:color w:val="000000"/>
          <w:sz w:val="20"/>
          <w:szCs w:val="20"/>
          <w:lang w:val="es-ES" w:eastAsia="es-ES" w:bidi="es-ES"/>
        </w:rPr>
      </w:pPr>
      <w:r w:rsidRPr="001425F6">
        <w:rPr>
          <w:rFonts w:eastAsia="Arial Unicode MS" w:cs="Calibri"/>
          <w:color w:val="000000"/>
          <w:sz w:val="20"/>
          <w:szCs w:val="20"/>
          <w:lang w:val="es-ES" w:eastAsia="es-ES" w:bidi="es-ES"/>
        </w:rPr>
        <w:t>En XXX, a los YYYY dos mil XX.</w:t>
      </w:r>
    </w:p>
    <w:p w:rsidR="001A5CA4" w:rsidRPr="008C0BCF" w:rsidRDefault="001A5CA4" w:rsidP="001A5CA4"/>
    <w:sectPr w:rsidR="001A5CA4" w:rsidRPr="008C0BCF" w:rsidSect="00D80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E6" w:rsidRDefault="007E11E6" w:rsidP="00371507">
      <w:pPr>
        <w:spacing w:after="0" w:line="240" w:lineRule="auto"/>
      </w:pPr>
      <w:r>
        <w:separator/>
      </w:r>
    </w:p>
  </w:endnote>
  <w:endnote w:type="continuationSeparator" w:id="1">
    <w:p w:rsidR="007E11E6" w:rsidRDefault="007E11E6" w:rsidP="003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3715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E6" w:rsidRDefault="007E11E6" w:rsidP="00371507">
      <w:pPr>
        <w:spacing w:after="0" w:line="240" w:lineRule="auto"/>
      </w:pPr>
      <w:r>
        <w:separator/>
      </w:r>
    </w:p>
  </w:footnote>
  <w:footnote w:type="continuationSeparator" w:id="1">
    <w:p w:rsidR="007E11E6" w:rsidRDefault="007E11E6" w:rsidP="003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294D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763.5pt;height:40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294D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763.5pt;height:40.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07" w:rsidRDefault="00294D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763.5pt;height:40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33pt" string="MINISTERIO DE LA MUJER Y POBLACIONES VULNERABL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461"/>
    <w:multiLevelType w:val="hybridMultilevel"/>
    <w:tmpl w:val="F8EE75E2"/>
    <w:lvl w:ilvl="0" w:tplc="8BF26B8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15DE"/>
    <w:multiLevelType w:val="hybridMultilevel"/>
    <w:tmpl w:val="375E8AB2"/>
    <w:lvl w:ilvl="0" w:tplc="5FB04EE0">
      <w:start w:val="1"/>
      <w:numFmt w:val="lowerRoman"/>
      <w:lvlText w:val="%1)"/>
      <w:lvlJc w:val="left"/>
      <w:pPr>
        <w:ind w:left="3273" w:hanging="720"/>
      </w:pPr>
      <w:rPr>
        <w:rFonts w:hint="default"/>
      </w:rPr>
    </w:lvl>
    <w:lvl w:ilvl="1" w:tplc="663ECA44">
      <w:start w:val="1"/>
      <w:numFmt w:val="decimal"/>
      <w:lvlText w:val="%2."/>
      <w:lvlJc w:val="left"/>
      <w:pPr>
        <w:ind w:left="3633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5CA4"/>
    <w:rsid w:val="00104791"/>
    <w:rsid w:val="00156DAA"/>
    <w:rsid w:val="001A5CA4"/>
    <w:rsid w:val="002042DF"/>
    <w:rsid w:val="00294D5E"/>
    <w:rsid w:val="00337B40"/>
    <w:rsid w:val="00371507"/>
    <w:rsid w:val="00391F5D"/>
    <w:rsid w:val="003A6F9D"/>
    <w:rsid w:val="00431540"/>
    <w:rsid w:val="005A08C2"/>
    <w:rsid w:val="00642A11"/>
    <w:rsid w:val="006A7820"/>
    <w:rsid w:val="00771A6D"/>
    <w:rsid w:val="007E11E6"/>
    <w:rsid w:val="0080411C"/>
    <w:rsid w:val="008C0BCF"/>
    <w:rsid w:val="008F6D5E"/>
    <w:rsid w:val="009A0913"/>
    <w:rsid w:val="00A23ED3"/>
    <w:rsid w:val="00BD0C6D"/>
    <w:rsid w:val="00C83B0D"/>
    <w:rsid w:val="00D22041"/>
    <w:rsid w:val="00D3015A"/>
    <w:rsid w:val="00D57A50"/>
    <w:rsid w:val="00D80341"/>
    <w:rsid w:val="00D806F8"/>
    <w:rsid w:val="00DE6EE3"/>
    <w:rsid w:val="00EC5985"/>
    <w:rsid w:val="00EE7462"/>
    <w:rsid w:val="00F91AC0"/>
    <w:rsid w:val="00FD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A4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 Paragraph1,Footnote,NIVEL ONE,paul2,List Paragraph,Párrafo de lista11,Titulo de Fígura,TITULO A,Cuadro 2-1,Bulleted List,Lista vistosa - Énfasis 11,Párrafo de lista2,Titulo parrafo,Punto,3,lp1,Ha,N°"/>
    <w:basedOn w:val="Normal"/>
    <w:link w:val="PrrafodelistaCar"/>
    <w:uiPriority w:val="34"/>
    <w:qFormat/>
    <w:rsid w:val="001A5CA4"/>
    <w:pPr>
      <w:ind w:left="720"/>
      <w:contextualSpacing/>
    </w:pPr>
  </w:style>
  <w:style w:type="character" w:customStyle="1" w:styleId="PrrafodelistaCar">
    <w:name w:val="Párrafo de lista Car"/>
    <w:aliases w:val="Fundamentacion Car,List Paragraph1 Car,Footnote Car,NIVEL ONE Car,paul2 Car,List Paragraph Car,Párrafo de lista11 Car,Titulo de Fígura Car,TITULO A Car,Cuadro 2-1 Car,Bulleted List Car,Lista vistosa - Énfasis 11 Car,Punto Car,3 Car"/>
    <w:link w:val="Prrafodelista"/>
    <w:uiPriority w:val="34"/>
    <w:qFormat/>
    <w:locked/>
    <w:rsid w:val="001A5CA4"/>
    <w:rPr>
      <w:rFonts w:ascii="Calibri" w:eastAsia="Times New Roman" w:hAnsi="Calibri" w:cs="Times New Roman"/>
      <w:sz w:val="22"/>
      <w:szCs w:val="22"/>
      <w:lang w:eastAsia="es-PE"/>
    </w:rPr>
  </w:style>
  <w:style w:type="character" w:customStyle="1" w:styleId="Bodytext2BoldExact">
    <w:name w:val="Body text (2) + Bold Exact"/>
    <w:rsid w:val="001A5CA4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Heading1Exact">
    <w:name w:val="Heading #1 Exact"/>
    <w:link w:val="Heading1"/>
    <w:rsid w:val="001A5CA4"/>
    <w:rPr>
      <w:b/>
      <w:bCs/>
      <w:sz w:val="17"/>
      <w:szCs w:val="17"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1A5CA4"/>
    <w:pPr>
      <w:widowControl w:val="0"/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Bodytext2Exact">
    <w:name w:val="Body text (2) Exact"/>
    <w:link w:val="Bodytext2"/>
    <w:rsid w:val="001A5CA4"/>
    <w:rPr>
      <w:sz w:val="17"/>
      <w:szCs w:val="17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1A5CA4"/>
    <w:pPr>
      <w:widowControl w:val="0"/>
      <w:shd w:val="clear" w:color="auto" w:fill="FFFFFF"/>
      <w:spacing w:after="18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Bodytext3Exact">
    <w:name w:val="Body text (3) Exact"/>
    <w:link w:val="Bodytext3"/>
    <w:locked/>
    <w:rsid w:val="001A5CA4"/>
    <w:rPr>
      <w:b/>
      <w:bCs/>
      <w:sz w:val="16"/>
      <w:szCs w:val="1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1A5CA4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71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507"/>
    <w:rPr>
      <w:rFonts w:ascii="Calibri" w:eastAsia="Times New Roman" w:hAnsi="Calibri" w:cs="Times New Roman"/>
      <w:sz w:val="22"/>
      <w:szCs w:val="22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71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507"/>
    <w:rPr>
      <w:rFonts w:ascii="Calibri" w:eastAsia="Times New Roman" w:hAnsi="Calibri" w:cs="Times New Roman"/>
      <w:sz w:val="22"/>
      <w:szCs w:val="22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Tuesta</dc:creator>
  <cp:lastModifiedBy>rlopez</cp:lastModifiedBy>
  <cp:revision>2</cp:revision>
  <dcterms:created xsi:type="dcterms:W3CDTF">2023-01-17T20:12:00Z</dcterms:created>
  <dcterms:modified xsi:type="dcterms:W3CDTF">2023-01-17T20:12:00Z</dcterms:modified>
</cp:coreProperties>
</file>